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0"/>
        <w:ind/>
        <w:jc w:val="both"/>
        <w:rPr>
          <w:b w:val="1"/>
          <w:sz w:val="28"/>
        </w:rPr>
      </w:pPr>
      <w:r>
        <w:rPr>
          <w:b w:val="1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542540" cy="22193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sz w:val="28"/>
        </w:rPr>
        <w:t xml:space="preserve">       </w:t>
      </w:r>
      <w:r>
        <w:rPr>
          <w:b w:val="1"/>
          <w:sz w:val="28"/>
        </w:rPr>
        <w:t>Могут ли госслужащие получать подарки?</w:t>
      </w:r>
    </w:p>
    <w:p w14:paraId="04000000">
      <w:pPr>
        <w:widowControl w:val="0"/>
        <w:ind w:firstLine="709" w:left="0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>На вопрос отвечает прокурор Кинель-Черкасского района Анатолий Завалишин</w:t>
      </w:r>
    </w:p>
    <w:p w14:paraId="05000000">
      <w:pPr>
        <w:widowControl w:val="0"/>
        <w:ind w:firstLine="709" w:left="0"/>
        <w:contextualSpacing w:val="1"/>
        <w:jc w:val="both"/>
        <w:rPr>
          <w:sz w:val="28"/>
        </w:rPr>
      </w:pPr>
    </w:p>
    <w:p w14:paraId="06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Да, но не все. </w:t>
      </w:r>
      <w:r>
        <w:rPr>
          <w:sz w:val="28"/>
        </w:rPr>
        <w:t> Госслужащие могут получать подарки стоимостью не более 3 000 руб. О подарке в связи с протокольными мероприятиями, служебными командировками и другими официальными мероприятиями необходимо уведомить госорган, в котором служит госслужащий. Подарки стоимостью свыше 3 000 руб. госслужащий может выкупить.</w:t>
      </w:r>
    </w:p>
    <w:p w14:paraId="07000000">
      <w:pPr>
        <w:widowControl w:val="0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Подарок в связи с протокольными мероприятиями, служебными командировками и другими официальными мероприятиями - это подарок, полученный госслужащим от физических или юридических лиц, которые осуществляют дарение исходя из должностного положения одаряемого или исполнения им служебных (должностных) обязанностей. Не относятся к таким подаркам канцелярские принадлежности, которые предоставлялись каждому участнику официальных мероприятий в целях исполнения обязанностей, цветы и ценные подарки, которые вручены в качестве поощрения (награды) (</w:t>
      </w:r>
      <w:r>
        <w:rPr>
          <w:b w:val="0"/>
          <w:strike w:val="0"/>
          <w:color w:val="0000FF"/>
          <w:sz w:val="28"/>
          <w:u w:color="000000" w:val="single"/>
        </w:rPr>
        <w:t>п. 2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Положения, утв. Постановлением Правительства РФ от 09.01.2014 N 10).</w:t>
      </w:r>
    </w:p>
    <w:p w14:paraId="08000000">
      <w:pPr>
        <w:widowControl w:val="0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Также установлен запрет на дарение подарков госслужащим в связи с их должностным положением или в связи с исполнением ими служебных обязанностей. Исключением являются обычные подарки, стоимость которых не превышает 3 000 руб.</w:t>
      </w:r>
    </w:p>
    <w:p w14:paraId="09000000">
      <w:pPr>
        <w:widowControl w:val="0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Отметим, что законодательство не содержит явного запрета на получение подарков госслужащими в случаях, не связанных с их должностным положением (в семейных, дружественных отношениях).</w:t>
      </w:r>
    </w:p>
    <w:p w14:paraId="0A000000">
      <w:pPr>
        <w:widowControl w:val="0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Вместе с тем должностным лицам не рекомендуется получать подарки или какие-либо иные вознаграждения, в том числе на личных торжественных мероприятиях, от своих друзей или связанных с ними людей, если они одновременно являются лицами, в отношении которых должностные лица непосредственно осуществляют функции управления или контроля. Прием таких подарков может их скомпрометировать и повлечь возникновение сомнений в их честности, беспристрастности и объективности.</w:t>
      </w:r>
    </w:p>
    <w:p w14:paraId="0B000000">
      <w:pPr>
        <w:widowControl w:val="0"/>
        <w:spacing w:after="0" w:before="0"/>
        <w:ind w:firstLine="709" w:left="0" w:right="0"/>
        <w:jc w:val="center"/>
        <w:rPr>
          <w:b w:val="1"/>
          <w:sz w:val="28"/>
        </w:rPr>
      </w:pPr>
    </w:p>
    <w:p w14:paraId="0C000000">
      <w:pPr>
        <w:widowControl w:val="0"/>
        <w:spacing w:after="0" w:before="0"/>
        <w:ind w:firstLine="709" w:left="0" w:right="0"/>
        <w:jc w:val="center"/>
        <w:rPr>
          <w:b w:val="1"/>
          <w:sz w:val="28"/>
        </w:rPr>
      </w:pPr>
      <w:r>
        <w:rPr>
          <w:b w:val="1"/>
          <w:sz w:val="28"/>
        </w:rPr>
        <w:t>Чем отличается подарок от взятки?</w:t>
      </w:r>
    </w:p>
    <w:p w14:paraId="0D000000">
      <w:pPr>
        <w:widowControl w:val="0"/>
        <w:spacing w:after="0" w:before="0"/>
        <w:ind w:firstLine="709" w:left="0" w:right="0"/>
        <w:jc w:val="both"/>
        <w:rPr>
          <w:b w:val="0"/>
          <w:sz w:val="28"/>
        </w:rPr>
      </w:pPr>
    </w:p>
    <w:p w14:paraId="0E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Подарок и взятка различаются по мотиву и характеру получения.</w:t>
      </w:r>
    </w:p>
    <w:p w14:paraId="0F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Мотивами для вручения подарка является уважение, симпатия, благодарность, чувство морального долга у дарителя к одаряемому. В связи с подарком у одаряемого не возникает встречных обязательств.</w:t>
      </w:r>
    </w:p>
    <w:p w14:paraId="10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Мотивом для дачи взятки является корыстный умысел в виде достижения правовой, имущественной, коммерческой, иной цели для получения выгоды, обогащения либо освобождения от ответственности. У взяткополучателя также присутствует мотив обогащения.</w:t>
      </w:r>
    </w:p>
    <w:p w14:paraId="11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Взятка носит возмездный характер, так как от взяткополучателя ожидается соответствующее поведение.</w:t>
      </w:r>
    </w:p>
    <w:p w14:paraId="12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За нарушение установленных ограничений, в том числе в отношении получения подарков, госслужащий может быть привлечен к дисциплинарной (замечание, выговор, предупреждение о неполном должностном соответствии, увольнение в связи с утратой доверия), а также к административной ответственности (ст. 19.28 КоАП РФ)ю</w:t>
      </w:r>
    </w:p>
    <w:p w14:paraId="13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Также возможно привлечение госслужащего к уголовной ответственности за взятку при наличии в его действиях состава преступления. При этом неважно, передается ли взятка до или после выполнения встречных обязательств, а также были ли указанные обязательства заранее обусловлены достигнутой договоренностью об их выполнении (ст. 290 УК РФ).</w:t>
      </w:r>
    </w:p>
    <w:p w14:paraId="14000000">
      <w:pPr>
        <w:widowControl w:val="0"/>
        <w:spacing w:after="0" w:before="0"/>
        <w:ind w:firstLine="709" w:left="0" w:right="0"/>
        <w:jc w:val="both"/>
        <w:rPr>
          <w:b w:val="0"/>
          <w:sz w:val="28"/>
        </w:rPr>
      </w:pPr>
    </w:p>
    <w:p w14:paraId="15000000">
      <w:pPr>
        <w:widowControl w:val="0"/>
        <w:ind w:firstLine="709" w:left="0"/>
        <w:jc w:val="both"/>
        <w:rPr>
          <w:sz w:val="27"/>
        </w:rPr>
      </w:pPr>
    </w:p>
    <w:p w14:paraId="16000000">
      <w:pPr>
        <w:widowControl w:val="0"/>
        <w:ind/>
        <w:jc w:val="both"/>
        <w:rPr>
          <w:sz w:val="28"/>
        </w:rPr>
      </w:pPr>
      <w:r>
        <w:rPr>
          <w:sz w:val="28"/>
        </w:rPr>
        <w:t>24.12.2025</w:t>
      </w:r>
    </w:p>
    <w:p w14:paraId="17000000">
      <w:pPr>
        <w:widowControl w:val="0"/>
        <w:ind/>
        <w:jc w:val="both"/>
        <w:rPr>
          <w:sz w:val="28"/>
        </w:rPr>
      </w:pPr>
    </w:p>
    <w:p w14:paraId="18000000">
      <w:pPr>
        <w:rPr>
          <w:sz w:val="20"/>
        </w:rPr>
      </w:pPr>
    </w:p>
    <w:p w14:paraId="19000000">
      <w:pPr>
        <w:rPr>
          <w:sz w:val="20"/>
        </w:rPr>
      </w:pPr>
    </w:p>
    <w:p w14:paraId="1A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1B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1C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sz w:val="20"/>
        </w:rPr>
      </w:pPr>
    </w:p>
    <w:p w14:paraId="1D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1E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1F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sz w:val="20"/>
        </w:rPr>
      </w:pPr>
    </w:p>
    <w:p w14:paraId="20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21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22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sz w:val="20"/>
        </w:rPr>
      </w:pPr>
    </w:p>
    <w:p w14:paraId="23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24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25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sz w:val="20"/>
        </w:rPr>
      </w:pPr>
    </w:p>
    <w:p w14:paraId="26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27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28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sz w:val="20"/>
        </w:rPr>
      </w:pPr>
    </w:p>
    <w:p w14:paraId="29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2A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2B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sz w:val="20"/>
        </w:rPr>
      </w:pPr>
    </w:p>
    <w:p w14:paraId="2C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2D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2E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sz w:val="20"/>
        </w:rPr>
      </w:pPr>
    </w:p>
    <w:p w14:paraId="2F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30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31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sz w:val="20"/>
        </w:rPr>
      </w:pPr>
    </w:p>
    <w:p w14:paraId="32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33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34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sz w:val="20"/>
        </w:rPr>
      </w:pPr>
    </w:p>
    <w:p w14:paraId="35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36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p w14:paraId="37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sz w:val="20"/>
        </w:rPr>
      </w:pPr>
    </w:p>
    <w:p w14:paraId="38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b w:val="0"/>
        </w:rPr>
      </w:pPr>
    </w:p>
    <w:sectPr>
      <w:headerReference r:id="rId1" w:type="default"/>
      <w:type w:val="nextPage"/>
      <w:pgSz w:h="16838" w:orient="portrait" w:w="11906"/>
      <w:pgMar w:bottom="709" w:footer="0" w:gutter="0" w:header="709" w:left="1418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z w:val="24"/>
    </w:rPr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Strong"/>
    <w:basedOn w:val="Style_5"/>
    <w:link w:val="Style_4_ch"/>
    <w:rPr>
      <w:b w:val="1"/>
    </w:rPr>
  </w:style>
  <w:style w:styleId="Style_4_ch" w:type="character">
    <w:name w:val="Strong"/>
    <w:basedOn w:val="Style_5_ch"/>
    <w:link w:val="Style_4"/>
    <w:rPr>
      <w:b w:val="1"/>
    </w:rPr>
  </w:style>
  <w:style w:styleId="Style_6" w:type="paragraph">
    <w:name w:val="toc 4"/>
    <w:next w:val="Style_2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2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No Spacing"/>
    <w:link w:val="Style_9_ch"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4"/>
    </w:rPr>
  </w:style>
  <w:style w:styleId="Style_9_ch" w:type="character">
    <w:name w:val="No Spacing"/>
    <w:link w:val="Style_9"/>
    <w:rPr>
      <w:rFonts w:ascii="Times New Roman" w:hAnsi="Times New Roman"/>
      <w:color w:val="000000"/>
      <w:sz w:val="24"/>
    </w:rPr>
  </w:style>
  <w:style w:styleId="Style_10" w:type="paragraph">
    <w:name w:val="ConsPlusTitle"/>
    <w:link w:val="Style_10_ch"/>
    <w:pPr>
      <w:widowControl w:val="0"/>
      <w:spacing w:after="0" w:before="0" w:line="240" w:lineRule="auto"/>
      <w:ind/>
      <w:jc w:val="left"/>
    </w:pPr>
    <w:rPr>
      <w:rFonts w:asciiTheme="minorAscii" w:hAnsiTheme="minorHAnsi"/>
      <w:b w:val="1"/>
      <w:color w:val="000000"/>
      <w:sz w:val="22"/>
    </w:rPr>
  </w:style>
  <w:style w:styleId="Style_10_ch" w:type="character">
    <w:name w:val="ConsPlusTitle"/>
    <w:link w:val="Style_10"/>
    <w:rPr>
      <w:rFonts w:asciiTheme="minorAscii" w:hAnsiTheme="minorHAnsi"/>
      <w:b w:val="1"/>
      <w:color w:val="000000"/>
      <w:sz w:val="22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2"/>
    <w:next w:val="Style_2"/>
    <w:link w:val="Style_12_ch"/>
    <w:uiPriority w:val="9"/>
    <w:qFormat/>
    <w:pPr>
      <w:keepNext w:val="1"/>
      <w:keepLines w:val="1"/>
      <w:widowControl w:val="0"/>
      <w:spacing w:after="0" w:before="40"/>
      <w:ind/>
      <w:outlineLvl w:val="2"/>
    </w:pPr>
    <w:rPr>
      <w:rFonts w:asciiTheme="majorAscii" w:hAnsiTheme="majorHAnsi"/>
      <w:color w:themeColor="accent1" w:themeShade="7F" w:val="244061"/>
    </w:rPr>
  </w:style>
  <w:style w:styleId="Style_12_ch" w:type="character">
    <w:name w:val="heading 3"/>
    <w:basedOn w:val="Style_2_ch"/>
    <w:link w:val="Style_12"/>
    <w:rPr>
      <w:rFonts w:asciiTheme="majorAscii" w:hAnsiTheme="majorHAnsi"/>
      <w:color w:themeColor="accent1" w:themeShade="7F" w:val="244061"/>
    </w:rPr>
  </w:style>
  <w:style w:styleId="Style_13" w:type="paragraph">
    <w:name w:val="Указатель"/>
    <w:basedOn w:val="Style_2"/>
    <w:link w:val="Style_13_ch"/>
  </w:style>
  <w:style w:styleId="Style_13_ch" w:type="character">
    <w:name w:val="Указатель"/>
    <w:basedOn w:val="Style_2_ch"/>
    <w:link w:val="Style_13"/>
  </w:style>
  <w:style w:styleId="Style_14" w:type="paragraph">
    <w:name w:val="Balloon Text"/>
    <w:basedOn w:val="Style_2"/>
    <w:link w:val="Style_14_ch"/>
    <w:rPr>
      <w:rFonts w:ascii="Tahoma" w:hAnsi="Tahoma"/>
      <w:sz w:val="16"/>
    </w:rPr>
  </w:style>
  <w:style w:styleId="Style_14_ch" w:type="character">
    <w:name w:val="Balloon Text"/>
    <w:basedOn w:val="Style_2_ch"/>
    <w:link w:val="Style_14"/>
    <w:rPr>
      <w:rFonts w:ascii="Tahoma" w:hAnsi="Tahoma"/>
      <w:sz w:val="16"/>
    </w:rPr>
  </w:style>
  <w:style w:styleId="Style_15" w:type="paragraph">
    <w:name w:val="Заголовок 3 Знак"/>
    <w:basedOn w:val="Style_5"/>
    <w:link w:val="Style_15_ch"/>
    <w:rPr>
      <w:rFonts w:asciiTheme="majorAscii" w:hAnsiTheme="majorHAnsi"/>
      <w:color w:themeColor="accent1" w:themeShade="7F" w:val="244061"/>
      <w:sz w:val="24"/>
    </w:rPr>
  </w:style>
  <w:style w:styleId="Style_15_ch" w:type="character">
    <w:name w:val="Заголовок 3 Знак"/>
    <w:basedOn w:val="Style_5_ch"/>
    <w:link w:val="Style_15"/>
    <w:rPr>
      <w:rFonts w:asciiTheme="majorAscii" w:hAnsiTheme="majorHAnsi"/>
      <w:color w:themeColor="accent1" w:themeShade="7F" w:val="244061"/>
      <w:sz w:val="24"/>
    </w:rPr>
  </w:style>
  <w:style w:styleId="Style_16" w:type="paragraph">
    <w:name w:val="Заголовок 1 Знак"/>
    <w:basedOn w:val="Style_5"/>
    <w:link w:val="Style_16_ch"/>
    <w:rPr>
      <w:rFonts w:asciiTheme="majorAscii" w:hAnsiTheme="majorHAnsi"/>
      <w:b w:val="1"/>
      <w:color w:themeColor="accent1" w:themeShade="BF" w:val="376092"/>
      <w:sz w:val="28"/>
    </w:rPr>
  </w:style>
  <w:style w:styleId="Style_16_ch" w:type="character">
    <w:name w:val="Заголовок 1 Знак"/>
    <w:basedOn w:val="Style_5_ch"/>
    <w:link w:val="Style_16"/>
    <w:rPr>
      <w:rFonts w:asciiTheme="majorAscii" w:hAnsiTheme="majorHAnsi"/>
      <w:b w:val="1"/>
      <w:color w:themeColor="accent1" w:themeShade="BF" w:val="376092"/>
      <w:sz w:val="28"/>
    </w:rPr>
  </w:style>
  <w:style w:styleId="Style_17" w:type="paragraph">
    <w:name w:val="Интернет-ссылка"/>
    <w:basedOn w:val="Style_5"/>
    <w:link w:val="Style_17_ch"/>
    <w:rPr>
      <w:color w:themeColor="hyperlink" w:val="0000FF"/>
      <w:u w:val="single"/>
    </w:rPr>
  </w:style>
  <w:style w:styleId="Style_17_ch" w:type="character">
    <w:name w:val="Интернет-ссылка"/>
    <w:basedOn w:val="Style_5_ch"/>
    <w:link w:val="Style_17"/>
    <w:rPr>
      <w:color w:themeColor="hyperlink" w:val="0000FF"/>
      <w:u w:val="single"/>
    </w:rPr>
  </w:style>
  <w:style w:styleId="Style_18" w:type="paragraph">
    <w:name w:val="toc 3"/>
    <w:next w:val="Style_2"/>
    <w:link w:val="Style_1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black"/>
    <w:basedOn w:val="Style_2"/>
    <w:link w:val="Style_19_ch"/>
    <w:pPr>
      <w:widowControl w:val="0"/>
      <w:spacing w:afterAutospacing="on" w:beforeAutospacing="on"/>
      <w:ind/>
    </w:pPr>
  </w:style>
  <w:style w:styleId="Style_19_ch" w:type="character">
    <w:name w:val="black"/>
    <w:basedOn w:val="Style_2_ch"/>
    <w:link w:val="Style_19"/>
  </w:style>
  <w:style w:styleId="Style_20" w:type="paragraph">
    <w:name w:val="Заголовок 2 Знак"/>
    <w:basedOn w:val="Style_5"/>
    <w:link w:val="Style_20_ch"/>
    <w:rPr>
      <w:rFonts w:asciiTheme="majorAscii" w:hAnsiTheme="majorHAnsi"/>
      <w:b w:val="1"/>
      <w:color w:themeColor="accent1" w:val="4F81BD"/>
      <w:sz w:val="26"/>
    </w:rPr>
  </w:style>
  <w:style w:styleId="Style_20_ch" w:type="character">
    <w:name w:val="Заголовок 2 Знак"/>
    <w:basedOn w:val="Style_5_ch"/>
    <w:link w:val="Style_20"/>
    <w:rPr>
      <w:rFonts w:asciiTheme="majorAscii" w:hAnsiTheme="majorHAnsi"/>
      <w:b w:val="1"/>
      <w:color w:themeColor="accent1" w:val="4F81BD"/>
      <w:sz w:val="26"/>
    </w:rPr>
  </w:style>
  <w:style w:styleId="Style_21" w:type="paragraph">
    <w:name w:val="Footer"/>
    <w:basedOn w:val="Style_2"/>
    <w:link w:val="Style_21_ch"/>
    <w:pPr>
      <w:widowControl w:val="0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21_ch" w:type="character">
    <w:name w:val="Footer"/>
    <w:basedOn w:val="Style_2_ch"/>
    <w:link w:val="Style_21"/>
  </w:style>
  <w:style w:styleId="Style_22" w:type="paragraph">
    <w:name w:val="heading 5"/>
    <w:next w:val="Style_2"/>
    <w:link w:val="Style_2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basedOn w:val="Style_2"/>
    <w:next w:val="Style_2"/>
    <w:link w:val="Style_23_ch"/>
    <w:uiPriority w:val="9"/>
    <w:qFormat/>
    <w:pPr>
      <w:keepNext w:val="1"/>
      <w:keepLines w:val="1"/>
      <w:widowControl w:val="0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23_ch" w:type="character">
    <w:name w:val="heading 1"/>
    <w:basedOn w:val="Style_2_ch"/>
    <w:link w:val="Style_23"/>
    <w:rPr>
      <w:rFonts w:asciiTheme="majorAscii" w:hAnsiTheme="majorHAnsi"/>
      <w:b w:val="1"/>
      <w:color w:themeColor="accent1" w:themeShade="BF" w:val="376092"/>
      <w:sz w:val="28"/>
    </w:rPr>
  </w:style>
  <w:style w:styleId="Style_24" w:type="paragraph">
    <w:name w:val="List"/>
    <w:basedOn w:val="Style_25"/>
    <w:link w:val="Style_24_ch"/>
  </w:style>
  <w:style w:styleId="Style_24_ch" w:type="character">
    <w:name w:val="List"/>
    <w:basedOn w:val="Style_25_ch"/>
    <w:link w:val="Style_24"/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hl"/>
    <w:basedOn w:val="Style_5"/>
    <w:link w:val="Style_28_ch"/>
  </w:style>
  <w:style w:styleId="Style_28_ch" w:type="character">
    <w:name w:val="hl"/>
    <w:basedOn w:val="Style_5_ch"/>
    <w:link w:val="Style_28"/>
  </w:style>
  <w:style w:styleId="Style_29" w:type="paragraph">
    <w:name w:val="toc 1"/>
    <w:next w:val="Style_2"/>
    <w:link w:val="Style_29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blk"/>
    <w:basedOn w:val="Style_5"/>
    <w:link w:val="Style_30_ch"/>
  </w:style>
  <w:style w:styleId="Style_30_ch" w:type="character">
    <w:name w:val="blk"/>
    <w:basedOn w:val="Style_5_ch"/>
    <w:link w:val="Style_30"/>
  </w:style>
  <w:style w:styleId="Style_31" w:type="paragraph">
    <w:name w:val="Header and Footer"/>
    <w:link w:val="Style_3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Заголовок"/>
    <w:basedOn w:val="Style_2"/>
    <w:next w:val="Style_25"/>
    <w:link w:val="Style_32_ch"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32_ch" w:type="character">
    <w:name w:val="Заголовок"/>
    <w:basedOn w:val="Style_2_ch"/>
    <w:link w:val="Style_32"/>
    <w:rPr>
      <w:rFonts w:ascii="Liberation Sans" w:hAnsi="Liberation Sans"/>
      <w:sz w:val="28"/>
    </w:rPr>
  </w:style>
  <w:style w:styleId="Style_33" w:type="paragraph">
    <w:name w:val="toc 9"/>
    <w:next w:val="Style_2"/>
    <w:link w:val="Style_33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Колонтитул"/>
    <w:basedOn w:val="Style_2"/>
    <w:link w:val="Style_34_ch"/>
  </w:style>
  <w:style w:styleId="Style_34_ch" w:type="character">
    <w:name w:val="Колонтитул"/>
    <w:basedOn w:val="Style_2_ch"/>
    <w:link w:val="Style_34"/>
  </w:style>
  <w:style w:styleId="Style_35" w:type="paragraph">
    <w:name w:val="ConsPlusNormal"/>
    <w:link w:val="Style_35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35_ch" w:type="character">
    <w:name w:val="ConsPlusNormal"/>
    <w:link w:val="Style_35"/>
    <w:rPr>
      <w:rFonts w:asciiTheme="minorAscii" w:hAnsiTheme="minorHAnsi"/>
      <w:color w:val="000000"/>
      <w:sz w:val="22"/>
    </w:rPr>
  </w:style>
  <w:style w:styleId="Style_36" w:type="paragraph">
    <w:name w:val="toc 8"/>
    <w:next w:val="Style_2"/>
    <w:link w:val="Style_3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1" w:type="paragraph">
    <w:name w:val="Header"/>
    <w:basedOn w:val="Style_2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37" w:type="paragraph">
    <w:name w:val="Выделение"/>
    <w:basedOn w:val="Style_5"/>
    <w:link w:val="Style_37_ch"/>
    <w:rPr>
      <w:i w:val="1"/>
    </w:rPr>
  </w:style>
  <w:style w:styleId="Style_37_ch" w:type="character">
    <w:name w:val="Выделение"/>
    <w:basedOn w:val="Style_5_ch"/>
    <w:link w:val="Style_37"/>
    <w:rPr>
      <w:i w:val="1"/>
    </w:rPr>
  </w:style>
  <w:style w:styleId="Style_38" w:type="paragraph">
    <w:name w:val="Caption"/>
    <w:basedOn w:val="Style_2"/>
    <w:link w:val="Style_38_ch"/>
    <w:pPr>
      <w:widowControl w:val="0"/>
      <w:spacing w:after="120" w:before="120"/>
      <w:ind/>
    </w:pPr>
    <w:rPr>
      <w:i w:val="1"/>
      <w:sz w:val="24"/>
    </w:rPr>
  </w:style>
  <w:style w:styleId="Style_38_ch" w:type="character">
    <w:name w:val="Caption"/>
    <w:basedOn w:val="Style_2_ch"/>
    <w:link w:val="Style_38"/>
    <w:rPr>
      <w:i w:val="1"/>
      <w:sz w:val="24"/>
    </w:rPr>
  </w:style>
  <w:style w:styleId="Style_39" w:type="paragraph">
    <w:name w:val="Нижний колонтитул Знак"/>
    <w:basedOn w:val="Style_5"/>
    <w:link w:val="Style_39_ch"/>
    <w:rPr>
      <w:rFonts w:ascii="Times New Roman" w:hAnsi="Times New Roman"/>
      <w:sz w:val="24"/>
    </w:rPr>
  </w:style>
  <w:style w:styleId="Style_39_ch" w:type="character">
    <w:name w:val="Нижний колонтитул Знак"/>
    <w:basedOn w:val="Style_5_ch"/>
    <w:link w:val="Style_39"/>
    <w:rPr>
      <w:rFonts w:ascii="Times New Roman" w:hAnsi="Times New Roman"/>
      <w:sz w:val="24"/>
    </w:rPr>
  </w:style>
  <w:style w:styleId="Style_40" w:type="paragraph">
    <w:name w:val="toc 5"/>
    <w:next w:val="Style_2"/>
    <w:link w:val="Style_4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40_ch" w:type="character">
    <w:name w:val="toc 5"/>
    <w:link w:val="Style_40"/>
    <w:rPr>
      <w:rFonts w:ascii="XO Thames" w:hAnsi="XO Thames"/>
      <w:sz w:val="28"/>
    </w:rPr>
  </w:style>
  <w:style w:styleId="Style_41" w:type="paragraph">
    <w:name w:val="Верхний колонтитул Знак"/>
    <w:basedOn w:val="Style_5"/>
    <w:link w:val="Style_41_ch"/>
    <w:rPr>
      <w:rFonts w:ascii="Times New Roman" w:hAnsi="Times New Roman"/>
      <w:sz w:val="24"/>
    </w:rPr>
  </w:style>
  <w:style w:styleId="Style_41_ch" w:type="character">
    <w:name w:val="Верхний колонтитул Знак"/>
    <w:basedOn w:val="Style_5_ch"/>
    <w:link w:val="Style_41"/>
    <w:rPr>
      <w:rFonts w:ascii="Times New Roman" w:hAnsi="Times New Roman"/>
      <w:sz w:val="24"/>
    </w:rPr>
  </w:style>
  <w:style w:styleId="Style_42" w:type="paragraph">
    <w:name w:val="Normal (Web)"/>
    <w:basedOn w:val="Style_2"/>
    <w:link w:val="Style_42_ch"/>
    <w:pPr>
      <w:widowControl w:val="0"/>
      <w:spacing w:afterAutospacing="on" w:beforeAutospacing="on"/>
      <w:ind/>
    </w:pPr>
  </w:style>
  <w:style w:styleId="Style_42_ch" w:type="character">
    <w:name w:val="Normal (Web)"/>
    <w:basedOn w:val="Style_2_ch"/>
    <w:link w:val="Style_42"/>
  </w:style>
  <w:style w:styleId="Style_43" w:type="paragraph">
    <w:name w:val="Subtitle"/>
    <w:next w:val="Style_2"/>
    <w:link w:val="Style_4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43_ch" w:type="character">
    <w:name w:val="Subtitle"/>
    <w:link w:val="Style_43"/>
    <w:rPr>
      <w:rFonts w:ascii="XO Thames" w:hAnsi="XO Thames"/>
      <w:i w:val="1"/>
      <w:sz w:val="24"/>
    </w:rPr>
  </w:style>
  <w:style w:styleId="Style_44" w:type="paragraph">
    <w:name w:val="Title"/>
    <w:next w:val="Style_2"/>
    <w:link w:val="Style_4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sz w:val="40"/>
    </w:rPr>
  </w:style>
  <w:style w:styleId="Style_45" w:type="paragraph">
    <w:name w:val="heading 4"/>
    <w:next w:val="Style_2"/>
    <w:link w:val="Style_4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5_ch" w:type="character">
    <w:name w:val="heading 4"/>
    <w:link w:val="Style_45"/>
    <w:rPr>
      <w:rFonts w:ascii="XO Thames" w:hAnsi="XO Thames"/>
      <w:b w:val="1"/>
      <w:sz w:val="24"/>
    </w:rPr>
  </w:style>
  <w:style w:styleId="Style_25" w:type="paragraph">
    <w:name w:val="Body Text"/>
    <w:basedOn w:val="Style_2"/>
    <w:link w:val="Style_25_ch"/>
    <w:pPr>
      <w:widowControl w:val="0"/>
      <w:spacing w:after="140" w:before="0" w:line="276" w:lineRule="auto"/>
      <w:ind/>
    </w:pPr>
  </w:style>
  <w:style w:styleId="Style_25_ch" w:type="character">
    <w:name w:val="Body Text"/>
    <w:basedOn w:val="Style_2_ch"/>
    <w:link w:val="Style_25"/>
  </w:style>
  <w:style w:styleId="Style_46" w:type="paragraph">
    <w:name w:val="List Paragraph"/>
    <w:basedOn w:val="Style_2"/>
    <w:link w:val="Style_46_ch"/>
    <w:pPr>
      <w:widowControl w:val="0"/>
      <w:spacing w:after="160" w:before="0" w:line="264" w:lineRule="auto"/>
      <w:ind w:firstLine="0" w:left="720"/>
      <w:contextualSpacing w:val="1"/>
    </w:pPr>
    <w:rPr>
      <w:rFonts w:asciiTheme="minorAscii" w:hAnsiTheme="minorHAnsi"/>
      <w:sz w:val="22"/>
    </w:rPr>
  </w:style>
  <w:style w:styleId="Style_46_ch" w:type="character">
    <w:name w:val="List Paragraph"/>
    <w:basedOn w:val="Style_2_ch"/>
    <w:link w:val="Style_46"/>
    <w:rPr>
      <w:rFonts w:asciiTheme="minorAscii" w:hAnsiTheme="minorHAnsi"/>
      <w:sz w:val="22"/>
    </w:rPr>
  </w:style>
  <w:style w:styleId="Style_47" w:type="paragraph">
    <w:name w:val="heading 2"/>
    <w:basedOn w:val="Style_2"/>
    <w:next w:val="Style_2"/>
    <w:link w:val="Style_47_ch"/>
    <w:uiPriority w:val="9"/>
    <w:qFormat/>
    <w:pPr>
      <w:keepNext w:val="1"/>
      <w:keepLines w:val="1"/>
      <w:widowControl w:val="0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47_ch" w:type="character">
    <w:name w:val="heading 2"/>
    <w:basedOn w:val="Style_2_ch"/>
    <w:link w:val="Style_47"/>
    <w:rPr>
      <w:rFonts w:asciiTheme="majorAscii" w:hAnsiTheme="majorHAnsi"/>
      <w:b w:val="1"/>
      <w:color w:themeColor="accent1" w:val="4F81BD"/>
      <w:sz w:val="26"/>
    </w:rPr>
  </w:style>
  <w:style w:default="1" w:styleId="Style_48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2025-12-24T18:11:40Z</dcterms:created>
  <dcterms:modified xsi:type="dcterms:W3CDTF">2025-12-24T18:11:40Z</dcterms:modified>
</cp:coreProperties>
</file>