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0"/>
        <w:ind w:firstLine="708" w:left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b w:val="1"/>
          <w:sz w:val="28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4445</wp:posOffset>
            </wp:positionH>
            <wp:positionV relativeFrom="page">
              <wp:posOffset>723900</wp:posOffset>
            </wp:positionV>
            <wp:extent cx="2542540" cy="2219325"/>
            <wp:effectExtent b="0" l="0" r="0" t="0"/>
            <wp:wrapSquare distB="0" distL="114300" distR="114300" distT="0" wrapText="bothSides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2542540" cy="2219325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4000000">
      <w:pPr>
        <w:widowControl w:val="0"/>
        <w:ind/>
        <w:contextualSpacing w:val="1"/>
        <w:jc w:val="both"/>
        <w:rPr>
          <w:b w:val="1"/>
          <w:color w:val="000000"/>
          <w:sz w:val="27"/>
        </w:rPr>
      </w:pPr>
      <w:r>
        <w:rPr>
          <w:b w:val="1"/>
          <w:color w:val="000000"/>
          <w:sz w:val="27"/>
        </w:rPr>
        <w:t xml:space="preserve">      Заплатил излишнюю сумму госпошлины, как мне ее вернуть?</w:t>
      </w:r>
    </w:p>
    <w:p w14:paraId="05000000">
      <w:pPr>
        <w:widowControl w:val="0"/>
        <w:ind/>
        <w:contextualSpacing w:val="1"/>
        <w:jc w:val="both"/>
        <w:rPr>
          <w:b w:val="1"/>
          <w:color w:val="000000"/>
          <w:sz w:val="27"/>
        </w:rPr>
      </w:pPr>
      <w:r>
        <w:rPr>
          <w:b w:val="1"/>
          <w:color w:val="000000"/>
          <w:sz w:val="27"/>
        </w:rPr>
        <w:tab/>
      </w:r>
      <w:r>
        <w:rPr>
          <w:b w:val="1"/>
          <w:color w:val="000000"/>
          <w:sz w:val="27"/>
        </w:rPr>
        <w:t xml:space="preserve">     На вопрос отвечает прокурор Кинель-Черкасского района Анатолий Завалишин.</w:t>
      </w:r>
    </w:p>
    <w:p w14:paraId="06000000">
      <w:pPr>
        <w:widowControl w:val="0"/>
        <w:ind w:firstLine="709" w:left="0"/>
        <w:contextualSpacing w:val="1"/>
        <w:jc w:val="both"/>
        <w:rPr>
          <w:sz w:val="27"/>
        </w:rPr>
      </w:pPr>
    </w:p>
    <w:p w14:paraId="07000000">
      <w:pPr>
        <w:widowControl w:val="1"/>
        <w:spacing w:after="0" w:before="0"/>
        <w:ind w:firstLine="0" w:left="0" w:right="0"/>
        <w:jc w:val="both"/>
        <w:rPr>
          <w:b w:val="0"/>
          <w:sz w:val="26"/>
        </w:rPr>
      </w:pPr>
      <w:r>
        <w:rPr>
          <w:b w:val="0"/>
        </w:rPr>
        <w:t xml:space="preserve">       </w:t>
      </w:r>
      <w:r>
        <w:rPr>
          <w:b w:val="0"/>
          <w:sz w:val="26"/>
        </w:rPr>
        <w:t>Порядок возврата государственной пошлины, в том числе уплаченной в суд, определен статьей</w:t>
      </w:r>
      <w:r>
        <w:rPr>
          <w:b w:val="0"/>
          <w:strike w:val="0"/>
          <w:color w:val="000000"/>
          <w:sz w:val="26"/>
          <w:u w:color="000000" w:val="none"/>
        </w:rPr>
        <w:t xml:space="preserve"> 333.40</w:t>
      </w:r>
      <w:r>
        <w:rPr>
          <w:b w:val="0"/>
          <w:sz w:val="26"/>
        </w:rPr>
        <w:t xml:space="preserve"> </w:t>
      </w:r>
      <w:r>
        <w:rPr>
          <w:b w:val="0"/>
          <w:sz w:val="26"/>
        </w:rPr>
        <w:t xml:space="preserve">Налогового кодекс РФ. </w:t>
      </w:r>
    </w:p>
    <w:p w14:paraId="08000000">
      <w:pPr>
        <w:widowControl w:val="1"/>
        <w:spacing w:after="0" w:before="0"/>
        <w:ind w:firstLine="0" w:left="0" w:right="0"/>
        <w:jc w:val="both"/>
        <w:rPr>
          <w:b w:val="0"/>
          <w:sz w:val="26"/>
        </w:rPr>
      </w:pPr>
      <w:r>
        <w:rPr>
          <w:b w:val="0"/>
          <w:sz w:val="26"/>
        </w:rPr>
        <w:t xml:space="preserve">      Если госпошлина излишне уплачена в суд, например в арбитражный суд или в суд общей юрисдикции, то заявление о возврате подается плательщиком государственной пошлины в налоговый орган по месту нахождения суда, в котором рассматривалось дело, либо в налоговый орган по </w:t>
      </w:r>
    </w:p>
    <w:p w14:paraId="09000000">
      <w:pPr>
        <w:widowControl w:val="1"/>
        <w:spacing w:after="0" w:before="0"/>
        <w:ind w:firstLine="0" w:left="0" w:right="0"/>
        <w:jc w:val="both"/>
        <w:rPr>
          <w:b w:val="0"/>
        </w:rPr>
      </w:pPr>
      <w:r>
        <w:rPr>
          <w:b w:val="0"/>
          <w:sz w:val="26"/>
        </w:rPr>
        <w:t>месту учета указанного плательщика госпошлины.</w:t>
      </w:r>
    </w:p>
    <w:p w14:paraId="0A000000">
      <w:pPr>
        <w:widowControl w:val="1"/>
        <w:spacing w:after="0" w:before="0"/>
        <w:ind w:firstLine="0" w:left="0" w:right="0"/>
        <w:jc w:val="both"/>
        <w:rPr>
          <w:b w:val="1"/>
        </w:rPr>
      </w:pPr>
      <w:r>
        <w:rPr>
          <w:b w:val="1"/>
        </w:rPr>
        <w:t xml:space="preserve">           </w:t>
      </w:r>
    </w:p>
    <w:p w14:paraId="0B000000">
      <w:pPr>
        <w:widowControl w:val="1"/>
        <w:spacing w:after="0" w:before="0"/>
        <w:ind w:firstLine="0" w:left="0" w:right="0"/>
        <w:jc w:val="both"/>
        <w:rPr>
          <w:b w:val="1"/>
        </w:rPr>
      </w:pPr>
      <w:r>
        <w:rPr>
          <w:b w:val="1"/>
        </w:rPr>
        <w:t xml:space="preserve">       </w:t>
      </w:r>
      <w:r>
        <w:rPr>
          <w:b w:val="1"/>
          <w:sz w:val="28"/>
        </w:rPr>
        <w:t xml:space="preserve">     Что делать в случае, если госпошлину за меня платило иное лицо?</w:t>
      </w:r>
    </w:p>
    <w:p w14:paraId="0C000000">
      <w:pPr>
        <w:widowControl w:val="1"/>
        <w:spacing w:after="0" w:before="0"/>
        <w:ind w:firstLine="0" w:left="0" w:right="0"/>
        <w:jc w:val="both"/>
        <w:rPr>
          <w:b w:val="1"/>
          <w:sz w:val="28"/>
        </w:rPr>
      </w:pPr>
    </w:p>
    <w:p w14:paraId="0D000000">
      <w:pPr>
        <w:widowControl w:val="1"/>
        <w:spacing w:after="0" w:before="0"/>
        <w:ind w:firstLine="709" w:left="0" w:right="0"/>
        <w:jc w:val="both"/>
        <w:rPr>
          <w:b w:val="0"/>
          <w:sz w:val="26"/>
        </w:rPr>
      </w:pPr>
      <w:r>
        <w:rPr>
          <w:b w:val="0"/>
          <w:sz w:val="26"/>
        </w:rPr>
        <w:t>Заявление о возврате государственной пошлины подается плательщиком в том числе и в случае, когда государственная пошлина была уплачена за него иным лицом. Возвращается государственная пошлина только лицу, обратившемуся в суд, даже если она была уплачена за него иным лицом.</w:t>
      </w:r>
    </w:p>
    <w:p w14:paraId="0E000000">
      <w:pPr>
        <w:widowControl w:val="1"/>
        <w:spacing w:after="0" w:before="0"/>
        <w:ind w:firstLine="709" w:left="0" w:right="0"/>
        <w:jc w:val="both"/>
        <w:rPr>
          <w:b w:val="0"/>
          <w:sz w:val="26"/>
        </w:rPr>
      </w:pPr>
    </w:p>
    <w:p w14:paraId="0F000000">
      <w:pPr>
        <w:widowControl w:val="1"/>
        <w:spacing w:after="0" w:before="0"/>
        <w:ind w:firstLine="709" w:left="0" w:right="0"/>
        <w:jc w:val="both"/>
        <w:rPr>
          <w:b w:val="1"/>
          <w:sz w:val="26"/>
        </w:rPr>
      </w:pPr>
      <w:r>
        <w:rPr>
          <w:b w:val="1"/>
          <w:sz w:val="26"/>
        </w:rPr>
        <w:t xml:space="preserve"> В течении какого срока можно подать заявление?</w:t>
      </w:r>
    </w:p>
    <w:p w14:paraId="10000000">
      <w:pPr>
        <w:widowControl w:val="1"/>
        <w:spacing w:after="0" w:before="0"/>
        <w:ind w:firstLine="709" w:left="0" w:right="0"/>
        <w:jc w:val="both"/>
        <w:rPr>
          <w:b w:val="1"/>
          <w:sz w:val="26"/>
        </w:rPr>
      </w:pPr>
    </w:p>
    <w:p w14:paraId="11000000">
      <w:pPr>
        <w:widowControl w:val="1"/>
        <w:spacing w:after="0" w:before="0"/>
        <w:ind w:firstLine="709" w:left="0" w:right="0"/>
        <w:jc w:val="both"/>
        <w:rPr>
          <w:b w:val="0"/>
        </w:rPr>
      </w:pPr>
      <w:r>
        <w:rPr>
          <w:b w:val="0"/>
          <w:sz w:val="26"/>
        </w:rPr>
        <w:t>В общем случае заявление о возврате излишне уплаченной суммы госпошлины может быть подано в течение 3 лет со дня уплаты указанной суммы. Возврат производится в течение 1 месяца со дня подачи указанного заявления о возврате путем перечисления средств органом Федерального казначейства на счет, открытый плательщику в банке. Решение о возврате принимает суд, осуществляющий действия, за которые уплачена государственная пошлина.</w:t>
      </w:r>
    </w:p>
    <w:p w14:paraId="12000000">
      <w:pPr>
        <w:widowControl w:val="1"/>
        <w:spacing w:after="0" w:before="0"/>
        <w:ind w:firstLine="709" w:left="0" w:right="0"/>
        <w:jc w:val="both"/>
        <w:rPr>
          <w:b w:val="0"/>
          <w:sz w:val="26"/>
        </w:rPr>
      </w:pPr>
    </w:p>
    <w:p w14:paraId="13000000">
      <w:pPr>
        <w:widowControl w:val="1"/>
        <w:spacing w:after="0" w:before="0"/>
        <w:ind w:firstLine="709" w:left="0" w:right="0"/>
        <w:jc w:val="both"/>
        <w:rPr>
          <w:b w:val="1"/>
        </w:rPr>
      </w:pPr>
      <w:r>
        <w:rPr>
          <w:b w:val="1"/>
          <w:sz w:val="26"/>
        </w:rPr>
        <w:t xml:space="preserve"> Возможно ли подать заявление дистанционно?</w:t>
      </w:r>
    </w:p>
    <w:p w14:paraId="14000000">
      <w:pPr>
        <w:widowControl w:val="1"/>
        <w:spacing w:after="0" w:before="168"/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</w:rPr>
        <w:t>Да, заявление в электронной форме может быть подано с использованием Единого портала госуслуг, региональных порталов государственных и муниципальных услуг и иных порталов, интегрированных с единой системой идентификации и аутентификации.</w:t>
      </w:r>
      <w:r>
        <w:rPr>
          <w:sz w:val="28"/>
        </w:rPr>
        <w:br/>
      </w:r>
      <w:r>
        <w:rPr>
          <w:b w:val="0"/>
          <w:sz w:val="28"/>
        </w:rPr>
        <w:tab/>
      </w:r>
      <w:r>
        <w:rPr>
          <w:b w:val="0"/>
          <w:sz w:val="28"/>
        </w:rPr>
        <w:t>Также не запрещена подача заявления о возврате государственной пошлины в электронной форме иными способами, например через личный кабинет налогоплательщика</w:t>
      </w:r>
      <w:r>
        <w:rPr>
          <w:b w:val="0"/>
          <w:sz w:val="28"/>
        </w:rPr>
        <w:t xml:space="preserve"> </w:t>
      </w:r>
    </w:p>
    <w:p w14:paraId="15000000">
      <w:pPr>
        <w:widowControl w:val="1"/>
        <w:spacing w:after="0" w:before="0"/>
        <w:ind w:firstLine="709" w:left="0" w:right="0"/>
        <w:jc w:val="both"/>
        <w:rPr>
          <w:b w:val="0"/>
        </w:rPr>
      </w:pPr>
      <w:r>
        <w:br/>
      </w:r>
    </w:p>
    <w:p w14:paraId="16000000">
      <w:pPr>
        <w:widowControl w:val="0"/>
        <w:ind/>
        <w:jc w:val="both"/>
        <w:rPr>
          <w:sz w:val="28"/>
        </w:rPr>
      </w:pPr>
      <w:r>
        <w:rPr>
          <w:b w:val="0"/>
          <w:sz w:val="26"/>
        </w:rPr>
        <w:t>27.01.2026</w:t>
      </w:r>
    </w:p>
    <w:p w14:paraId="17000000">
      <w:pPr>
        <w:widowControl w:val="0"/>
        <w:ind/>
        <w:jc w:val="both"/>
        <w:rPr>
          <w:b w:val="0"/>
          <w:sz w:val="26"/>
        </w:rPr>
      </w:pPr>
    </w:p>
    <w:p w14:paraId="18000000">
      <w:pPr>
        <w:widowControl w:val="0"/>
        <w:ind/>
        <w:jc w:val="both"/>
        <w:rPr>
          <w:b w:val="0"/>
          <w:sz w:val="24"/>
        </w:rPr>
      </w:pPr>
    </w:p>
    <w:sectPr>
      <w:headerReference r:id="rId1" w:type="default"/>
      <w:pgSz w:h="16838" w:orient="portrait" w:w="11906"/>
      <w:pgMar w:bottom="1134" w:footer="709" w:gutter="0" w:header="709" w:left="1418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0"/>
      <w:spacing w:after="0" w:line="240" w:lineRule="auto"/>
      <w:ind/>
    </w:pPr>
    <w:rPr>
      <w:rFonts w:ascii="Times New Roman" w:hAnsi="Times New Roman"/>
      <w:sz w:val="24"/>
    </w:rPr>
  </w:style>
  <w:style w:default="1" w:styleId="Style_2_ch" w:type="character">
    <w:name w:val="Normal"/>
    <w:link w:val="Style_2"/>
    <w:rPr>
      <w:rFonts w:ascii="Times New Roman" w:hAnsi="Times New Roman"/>
      <w:sz w:val="24"/>
    </w:rPr>
  </w:style>
  <w:style w:styleId="Style_3" w:type="paragraph">
    <w:name w:val="toc 2"/>
    <w:next w:val="Style_2"/>
    <w:link w:val="Style_3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basedOn w:val="Style_2"/>
    <w:next w:val="Style_2"/>
    <w:link w:val="Style_8_ch"/>
    <w:uiPriority w:val="9"/>
    <w:qFormat/>
    <w:pPr>
      <w:keepNext w:val="1"/>
      <w:keepLines w:val="1"/>
      <w:widowControl w:val="0"/>
      <w:spacing w:before="40"/>
      <w:ind/>
      <w:outlineLvl w:val="2"/>
    </w:pPr>
    <w:rPr>
      <w:rFonts w:asciiTheme="majorAscii" w:hAnsiTheme="majorHAnsi"/>
      <w:color w:themeColor="accent1" w:themeShade="7F" w:val="244061"/>
    </w:rPr>
  </w:style>
  <w:style w:styleId="Style_8_ch" w:type="character">
    <w:name w:val="heading 3"/>
    <w:basedOn w:val="Style_2_ch"/>
    <w:link w:val="Style_8"/>
    <w:rPr>
      <w:rFonts w:asciiTheme="majorAscii" w:hAnsiTheme="majorHAnsi"/>
      <w:color w:themeColor="accent1" w:themeShade="7F" w:val="244061"/>
    </w:rPr>
  </w:style>
  <w:style w:styleId="Style_9" w:type="paragraph">
    <w:name w:val="blk"/>
    <w:basedOn w:val="Style_10"/>
    <w:link w:val="Style_9_ch"/>
  </w:style>
  <w:style w:styleId="Style_9_ch" w:type="character">
    <w:name w:val="blk"/>
    <w:basedOn w:val="Style_10_ch"/>
    <w:link w:val="Style_9"/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hl"/>
    <w:basedOn w:val="Style_10"/>
    <w:link w:val="Style_11_ch"/>
  </w:style>
  <w:style w:styleId="Style_11_ch" w:type="character">
    <w:name w:val="hl"/>
    <w:basedOn w:val="Style_10_ch"/>
    <w:link w:val="Style_11"/>
  </w:style>
  <w:style w:styleId="Style_12" w:type="paragraph">
    <w:name w:val="toc 3"/>
    <w:next w:val="Style_2"/>
    <w:link w:val="Style_12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2"/>
    <w:link w:val="Style_13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basedOn w:val="Style_2"/>
    <w:next w:val="Style_2"/>
    <w:link w:val="Style_14_ch"/>
    <w:uiPriority w:val="9"/>
    <w:qFormat/>
    <w:pPr>
      <w:keepNext w:val="1"/>
      <w:keepLines w:val="1"/>
      <w:widowControl w:val="0"/>
      <w:spacing w:before="480"/>
      <w:ind/>
      <w:outlineLvl w:val="0"/>
    </w:pPr>
    <w:rPr>
      <w:rFonts w:asciiTheme="majorAscii" w:hAnsiTheme="majorHAnsi"/>
      <w:b w:val="1"/>
      <w:color w:themeColor="accent1" w:themeShade="BF" w:val="376092"/>
      <w:sz w:val="28"/>
    </w:rPr>
  </w:style>
  <w:style w:styleId="Style_14_ch" w:type="character">
    <w:name w:val="heading 1"/>
    <w:basedOn w:val="Style_2_ch"/>
    <w:link w:val="Style_14"/>
    <w:rPr>
      <w:rFonts w:asciiTheme="majorAscii" w:hAnsiTheme="majorHAnsi"/>
      <w:b w:val="1"/>
      <w:color w:themeColor="accent1" w:themeShade="BF" w:val="376092"/>
      <w:sz w:val="28"/>
    </w:rPr>
  </w:style>
  <w:style w:styleId="Style_15" w:type="paragraph">
    <w:name w:val="Hyperlink"/>
    <w:basedOn w:val="Style_10"/>
    <w:link w:val="Style_15_ch"/>
    <w:rPr>
      <w:color w:themeColor="hyperlink" w:val="0000FF"/>
      <w:u w:val="single"/>
    </w:rPr>
  </w:style>
  <w:style w:styleId="Style_15_ch" w:type="character">
    <w:name w:val="Hyperlink"/>
    <w:basedOn w:val="Style_10_ch"/>
    <w:link w:val="Style_15"/>
    <w:rPr>
      <w:color w:themeColor="hyperlink" w:val="0000FF"/>
      <w:u w:val="single"/>
    </w:rPr>
  </w:style>
  <w:style w:styleId="Style_16" w:type="paragraph">
    <w:name w:val="Footnote"/>
    <w:link w:val="Style_1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2"/>
    <w:link w:val="Style_17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ConsPlusNormal"/>
    <w:link w:val="Style_18_ch"/>
    <w:pPr>
      <w:widowControl w:val="0"/>
      <w:spacing w:after="0" w:line="240" w:lineRule="auto"/>
      <w:ind/>
    </w:pPr>
    <w:rPr>
      <w:rFonts w:ascii="Calibri" w:hAnsi="Calibri"/>
    </w:rPr>
  </w:style>
  <w:style w:styleId="Style_18_ch" w:type="character">
    <w:name w:val="ConsPlusNormal"/>
    <w:link w:val="Style_18"/>
    <w:rPr>
      <w:rFonts w:ascii="Calibri" w:hAnsi="Calibri"/>
    </w:rPr>
  </w:style>
  <w:style w:styleId="Style_19" w:type="paragraph">
    <w:name w:val="Header and Footer"/>
    <w:link w:val="Style_19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Normal (Web)"/>
    <w:basedOn w:val="Style_2"/>
    <w:link w:val="Style_20_ch"/>
    <w:pPr>
      <w:widowControl w:val="0"/>
      <w:spacing w:afterAutospacing="on" w:beforeAutospacing="on"/>
      <w:ind/>
    </w:pPr>
  </w:style>
  <w:style w:styleId="Style_20_ch" w:type="character">
    <w:name w:val="Normal (Web)"/>
    <w:basedOn w:val="Style_2_ch"/>
    <w:link w:val="Style_20"/>
  </w:style>
  <w:style w:styleId="Style_21" w:type="paragraph">
    <w:name w:val="black"/>
    <w:basedOn w:val="Style_2"/>
    <w:link w:val="Style_21_ch"/>
    <w:pPr>
      <w:widowControl w:val="0"/>
      <w:spacing w:afterAutospacing="on" w:beforeAutospacing="on"/>
      <w:ind/>
    </w:pPr>
  </w:style>
  <w:style w:styleId="Style_21_ch" w:type="character">
    <w:name w:val="black"/>
    <w:basedOn w:val="Style_2_ch"/>
    <w:link w:val="Style_21"/>
  </w:style>
  <w:style w:styleId="Style_22" w:type="paragraph">
    <w:name w:val="Strong"/>
    <w:basedOn w:val="Style_10"/>
    <w:link w:val="Style_22_ch"/>
    <w:rPr>
      <w:b w:val="1"/>
    </w:rPr>
  </w:style>
  <w:style w:styleId="Style_22_ch" w:type="character">
    <w:name w:val="Strong"/>
    <w:basedOn w:val="Style_10_ch"/>
    <w:link w:val="Style_22"/>
    <w:rPr>
      <w:b w:val="1"/>
    </w:rPr>
  </w:style>
  <w:style w:styleId="Style_23" w:type="paragraph">
    <w:name w:val="toc 9"/>
    <w:next w:val="Style_2"/>
    <w:link w:val="Style_23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List Paragraph"/>
    <w:basedOn w:val="Style_2"/>
    <w:link w:val="Style_24_ch"/>
    <w:pPr>
      <w:widowControl w:val="0"/>
      <w:spacing w:after="160" w:line="264" w:lineRule="auto"/>
      <w:ind w:firstLine="0" w:left="720"/>
      <w:contextualSpacing w:val="1"/>
    </w:pPr>
    <w:rPr>
      <w:rFonts w:asciiTheme="minorAscii" w:hAnsiTheme="minorHAnsi"/>
      <w:sz w:val="22"/>
    </w:rPr>
  </w:style>
  <w:style w:styleId="Style_24_ch" w:type="character">
    <w:name w:val="List Paragraph"/>
    <w:basedOn w:val="Style_2_ch"/>
    <w:link w:val="Style_24"/>
    <w:rPr>
      <w:rFonts w:asciiTheme="minorAscii" w:hAnsiTheme="minorHAnsi"/>
      <w:sz w:val="22"/>
    </w:rPr>
  </w:style>
  <w:style w:styleId="Style_25" w:type="paragraph">
    <w:name w:val="toc 8"/>
    <w:next w:val="Style_2"/>
    <w:link w:val="Style_25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1" w:type="paragraph">
    <w:name w:val="header"/>
    <w:basedOn w:val="Style_2"/>
    <w:link w:val="Style_1_ch"/>
    <w:pPr>
      <w:widowControl w:val="0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2_ch"/>
    <w:link w:val="Style_1"/>
  </w:style>
  <w:style w:styleId="Style_26" w:type="paragraph">
    <w:name w:val="Emphasis"/>
    <w:basedOn w:val="Style_10"/>
    <w:link w:val="Style_26_ch"/>
    <w:rPr>
      <w:i w:val="1"/>
    </w:rPr>
  </w:style>
  <w:style w:styleId="Style_26_ch" w:type="character">
    <w:name w:val="Emphasis"/>
    <w:basedOn w:val="Style_10_ch"/>
    <w:link w:val="Style_26"/>
    <w:rPr>
      <w:i w:val="1"/>
    </w:rPr>
  </w:style>
  <w:style w:styleId="Style_27" w:type="paragraph">
    <w:name w:val="Balloon Text"/>
    <w:basedOn w:val="Style_2"/>
    <w:link w:val="Style_27_ch"/>
    <w:rPr>
      <w:rFonts w:ascii="Tahoma" w:hAnsi="Tahoma"/>
      <w:sz w:val="16"/>
    </w:rPr>
  </w:style>
  <w:style w:styleId="Style_27_ch" w:type="character">
    <w:name w:val="Balloon Text"/>
    <w:basedOn w:val="Style_2_ch"/>
    <w:link w:val="Style_27"/>
    <w:rPr>
      <w:rFonts w:ascii="Tahoma" w:hAnsi="Tahoma"/>
      <w:sz w:val="16"/>
    </w:rPr>
  </w:style>
  <w:style w:styleId="Style_28" w:type="paragraph">
    <w:name w:val="toc 5"/>
    <w:next w:val="Style_2"/>
    <w:link w:val="Style_28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29" w:type="paragraph">
    <w:name w:val="No Spacing"/>
    <w:link w:val="Style_29_ch"/>
    <w:pPr>
      <w:widowControl w:val="0"/>
      <w:spacing w:after="0" w:line="240" w:lineRule="auto"/>
      <w:ind/>
    </w:pPr>
    <w:rPr>
      <w:rFonts w:ascii="Times New Roman" w:hAnsi="Times New Roman"/>
      <w:sz w:val="24"/>
    </w:rPr>
  </w:style>
  <w:style w:styleId="Style_29_ch" w:type="character">
    <w:name w:val="No Spacing"/>
    <w:link w:val="Style_29"/>
    <w:rPr>
      <w:rFonts w:ascii="Times New Roman" w:hAnsi="Times New Roman"/>
      <w:sz w:val="24"/>
    </w:rPr>
  </w:style>
  <w:style w:styleId="Style_30" w:type="paragraph">
    <w:name w:val="footer"/>
    <w:basedOn w:val="Style_2"/>
    <w:link w:val="Style_30_ch"/>
    <w:pPr>
      <w:widowControl w:val="0"/>
      <w:tabs>
        <w:tab w:leader="none" w:pos="4677" w:val="center"/>
        <w:tab w:leader="none" w:pos="9355" w:val="right"/>
      </w:tabs>
      <w:ind/>
    </w:pPr>
  </w:style>
  <w:style w:styleId="Style_30_ch" w:type="character">
    <w:name w:val="footer"/>
    <w:basedOn w:val="Style_2_ch"/>
    <w:link w:val="Style_30"/>
  </w:style>
  <w:style w:styleId="Style_31" w:type="paragraph">
    <w:name w:val="Subtitle"/>
    <w:next w:val="Style_2"/>
    <w:link w:val="Style_31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31_ch" w:type="character">
    <w:name w:val="Subtitle"/>
    <w:link w:val="Style_31"/>
    <w:rPr>
      <w:rFonts w:ascii="XO Thames" w:hAnsi="XO Thames"/>
      <w:i w:val="1"/>
      <w:sz w:val="24"/>
    </w:rPr>
  </w:style>
  <w:style w:styleId="Style_32" w:type="paragraph">
    <w:name w:val="Title"/>
    <w:next w:val="Style_2"/>
    <w:link w:val="Style_32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2_ch" w:type="character">
    <w:name w:val="Title"/>
    <w:link w:val="Style_32"/>
    <w:rPr>
      <w:rFonts w:ascii="XO Thames" w:hAnsi="XO Thames"/>
      <w:b w:val="1"/>
      <w:caps w:val="1"/>
      <w:sz w:val="40"/>
    </w:rPr>
  </w:style>
  <w:style w:styleId="Style_33" w:type="paragraph">
    <w:name w:val="ConsPlusTitle"/>
    <w:link w:val="Style_33_ch"/>
    <w:pPr>
      <w:widowControl w:val="0"/>
      <w:spacing w:after="0" w:line="240" w:lineRule="auto"/>
      <w:ind/>
    </w:pPr>
    <w:rPr>
      <w:rFonts w:ascii="Calibri" w:hAnsi="Calibri"/>
      <w:b w:val="1"/>
    </w:rPr>
  </w:style>
  <w:style w:styleId="Style_33_ch" w:type="character">
    <w:name w:val="ConsPlusTitle"/>
    <w:link w:val="Style_33"/>
    <w:rPr>
      <w:rFonts w:ascii="Calibri" w:hAnsi="Calibri"/>
      <w:b w:val="1"/>
    </w:rPr>
  </w:style>
  <w:style w:styleId="Style_34" w:type="paragraph">
    <w:name w:val="heading 4"/>
    <w:next w:val="Style_2"/>
    <w:link w:val="Style_34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4_ch" w:type="character">
    <w:name w:val="heading 4"/>
    <w:link w:val="Style_34"/>
    <w:rPr>
      <w:rFonts w:ascii="XO Thames" w:hAnsi="XO Thames"/>
      <w:b w:val="1"/>
      <w:sz w:val="24"/>
    </w:rPr>
  </w:style>
  <w:style w:styleId="Style_35" w:type="paragraph">
    <w:name w:val="heading 2"/>
    <w:basedOn w:val="Style_2"/>
    <w:next w:val="Style_2"/>
    <w:link w:val="Style_35_ch"/>
    <w:uiPriority w:val="9"/>
    <w:qFormat/>
    <w:pPr>
      <w:keepNext w:val="1"/>
      <w:keepLines w:val="1"/>
      <w:widowControl w:val="0"/>
      <w:spacing w:before="200"/>
      <w:ind/>
      <w:outlineLvl w:val="1"/>
    </w:pPr>
    <w:rPr>
      <w:rFonts w:asciiTheme="majorAscii" w:hAnsiTheme="majorHAnsi"/>
      <w:b w:val="1"/>
      <w:color w:themeColor="accent1" w:val="4F81BD"/>
      <w:sz w:val="26"/>
    </w:rPr>
  </w:style>
  <w:style w:styleId="Style_35_ch" w:type="character">
    <w:name w:val="heading 2"/>
    <w:basedOn w:val="Style_2_ch"/>
    <w:link w:val="Style_35"/>
    <w:rPr>
      <w:rFonts w:asciiTheme="majorAscii" w:hAnsiTheme="majorHAnsi"/>
      <w:b w:val="1"/>
      <w:color w:themeColor="accent1" w:val="4F81BD"/>
      <w:sz w:val="26"/>
    </w:rPr>
  </w:style>
  <w:style w:default="1" w:styleId="Style_3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media/1.pn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2026-01-27T09:39:42Z</dcterms:created>
  <dcterms:modified xsi:type="dcterms:W3CDTF">2026-01-27T10:21:57Z</dcterms:modified>
</cp:coreProperties>
</file>